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E5703" w:rsidR="00DE5703" w:rsidP="00DE5703" w:rsidRDefault="00DE5703" w14:paraId="36EEFD36" w14:textId="77777777">
      <w:pPr>
        <w:spacing w:after="0" w:line="240" w:lineRule="auto"/>
        <w:contextualSpacing/>
        <w:jc w:val="center"/>
        <w:rPr>
          <w:rFonts w:ascii="Calibri" w:hAnsi="Calibri" w:eastAsia="Arial" w:cs="Calibri"/>
          <w:b/>
          <w:bCs/>
          <w:color w:val="000000"/>
          <w:kern w:val="0"/>
          <w:sz w:val="22"/>
          <w:szCs w:val="22"/>
          <w14:ligatures w14:val="none"/>
        </w:rPr>
      </w:pPr>
    </w:p>
    <w:p w:rsidRPr="00DE5703" w:rsidR="00DE5703" w:rsidP="598C0366" w:rsidRDefault="1E1E1BBA" w14:paraId="0974D477" w14:textId="121EED41">
      <w:pPr>
        <w:spacing w:after="0" w:line="240" w:lineRule="auto"/>
        <w:contextualSpacing/>
        <w:jc w:val="center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Arial" w:cs="Calibri"/>
          <w:b/>
          <w:bCs/>
          <w:color w:val="000000"/>
          <w:kern w:val="0"/>
          <w:sz w:val="22"/>
          <w:szCs w:val="22"/>
          <w14:ligatures w14:val="none"/>
        </w:rPr>
        <w:t xml:space="preserve">Uchwała nr </w:t>
      </w:r>
      <w:r w:rsidRPr="00DE5703" w:rsidR="79D4F7EC">
        <w:rPr>
          <w:rFonts w:ascii="Calibri" w:hAnsi="Calibri" w:eastAsia="Arial" w:cs="Calibri"/>
          <w:b/>
          <w:bCs/>
          <w:color w:val="000000"/>
          <w:kern w:val="0"/>
          <w:sz w:val="22"/>
          <w:szCs w:val="22"/>
          <w14:ligatures w14:val="none"/>
        </w:rPr>
        <w:t>20</w:t>
      </w:r>
    </w:p>
    <w:p w:rsidRPr="00DE5703" w:rsidR="00DE5703" w:rsidP="7D10EC23" w:rsidRDefault="00DE5703" w14:paraId="62079685" w14:textId="599F246E">
      <w:pPr>
        <w:spacing w:after="0" w:line="240" w:lineRule="auto"/>
        <w:contextualSpacing w:val="1"/>
        <w:jc w:val="center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  <w:r w:rsidRPr="00DE5703" w:rsidR="20A7E586">
        <w:rPr>
          <w:rFonts w:ascii="Calibri" w:hAnsi="Calibri" w:eastAsia="Arial" w:cs="Calibri"/>
          <w:b w:val="1"/>
          <w:bCs w:val="1"/>
          <w:color w:val="000000"/>
          <w:kern w:val="0"/>
          <w:sz w:val="22"/>
          <w:szCs w:val="22"/>
          <w14:ligatures w14:val="none"/>
        </w:rPr>
        <w:t>Z</w:t>
      </w:r>
      <w:r w:rsidRPr="00DE5703" w:rsidR="2F47CF08">
        <w:rPr>
          <w:rFonts w:ascii="Calibri" w:hAnsi="Calibri" w:eastAsia="Arial" w:cs="Calibri"/>
          <w:b w:val="1"/>
          <w:bCs w:val="1"/>
          <w:color w:val="000000"/>
          <w:kern w:val="0"/>
          <w:sz w:val="22"/>
          <w:szCs w:val="22"/>
          <w14:ligatures w14:val="none"/>
        </w:rPr>
        <w:t>wyczajnego Walnego Zgromadzenia Członków Izby Gospodarki Elektronicznej</w:t>
      </w:r>
    </w:p>
    <w:p w:rsidRPr="00DE5703" w:rsidR="00DE5703" w:rsidP="598C0366" w:rsidRDefault="1E1E1BBA" w14:paraId="58265C7C" w14:textId="43627556">
      <w:pPr>
        <w:spacing w:after="0" w:line="240" w:lineRule="auto"/>
        <w:contextualSpacing/>
        <w:jc w:val="center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Arial" w:cs="Calibri"/>
          <w:b/>
          <w:bCs/>
          <w:color w:val="000000"/>
          <w:kern w:val="0"/>
          <w:sz w:val="22"/>
          <w:szCs w:val="22"/>
          <w14:ligatures w14:val="none"/>
        </w:rPr>
        <w:t xml:space="preserve">z siedzibą w Warszawie z dnia </w:t>
      </w:r>
      <w:r w:rsidRPr="00DE5703" w:rsidR="0E5F0C28">
        <w:rPr>
          <w:rFonts w:ascii="Calibri" w:hAnsi="Calibri" w:eastAsia="Calibri" w:cs="Calibri"/>
          <w:b/>
          <w:bCs/>
          <w:kern w:val="0"/>
          <w:sz w:val="22"/>
          <w:szCs w:val="22"/>
          <w14:ligatures w14:val="none"/>
        </w:rPr>
        <w:t>29 czerwca</w:t>
      </w:r>
      <w:r w:rsidRPr="00DE5703">
        <w:rPr>
          <w:rFonts w:ascii="Calibri" w:hAnsi="Calibri" w:eastAsia="Calibri" w:cs="Calibri"/>
          <w:b/>
          <w:bCs/>
          <w:kern w:val="0"/>
          <w:sz w:val="22"/>
          <w:szCs w:val="22"/>
          <w14:ligatures w14:val="none"/>
        </w:rPr>
        <w:t xml:space="preserve"> 2026 roku</w:t>
      </w:r>
    </w:p>
    <w:p w:rsidRPr="00DE5703" w:rsidR="00DE5703" w:rsidP="00DE5703" w:rsidRDefault="00DE5703" w14:paraId="52B6D7AA" w14:textId="77777777">
      <w:pPr>
        <w:spacing w:after="0" w:line="240" w:lineRule="auto"/>
        <w:contextualSpacing/>
        <w:jc w:val="center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Arial" w:cs="Calibri"/>
          <w:b/>
          <w:bCs/>
          <w:color w:val="000000"/>
          <w:kern w:val="0"/>
          <w:sz w:val="22"/>
          <w:szCs w:val="22"/>
          <w14:ligatures w14:val="none"/>
        </w:rPr>
        <w:t>w sprawie zmiany Statutu e-Izby</w:t>
      </w:r>
    </w:p>
    <w:p w:rsidRPr="00DE5703" w:rsidR="00DE5703" w:rsidP="00DE5703" w:rsidRDefault="00DE5703" w14:paraId="4B7C6DB3" w14:textId="77777777">
      <w:pPr>
        <w:spacing w:after="0" w:line="240" w:lineRule="auto"/>
        <w:contextualSpacing/>
        <w:jc w:val="center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7F8936CD" w14:textId="77777777">
      <w:pPr>
        <w:spacing w:after="0" w:line="240" w:lineRule="auto"/>
        <w:contextualSpacing/>
        <w:jc w:val="both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4E086150" w14:textId="77777777">
      <w:pPr>
        <w:spacing w:after="0" w:line="276" w:lineRule="auto"/>
        <w:contextualSpacing/>
        <w:jc w:val="both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  <w:t>Nadzwyczajne Walne Zgromadzenie Członków Izby Gospodarki Elektronicznej z siedzibą w Warszawie w głosowaniu jawnym na podstawie art. 35 ust. 1 Statutu e-Izby uchwala, co następuje:</w:t>
      </w:r>
    </w:p>
    <w:p w:rsidRPr="00DE5703" w:rsidR="00DE5703" w:rsidP="00DE5703" w:rsidRDefault="00DE5703" w14:paraId="328A2A3B" w14:textId="77777777">
      <w:pPr>
        <w:spacing w:after="0" w:line="276" w:lineRule="auto"/>
        <w:contextualSpacing/>
        <w:jc w:val="both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7982F00C" w14:textId="77777777">
      <w:pPr>
        <w:spacing w:after="0" w:line="276" w:lineRule="auto"/>
        <w:contextualSpacing/>
        <w:jc w:val="center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Arial" w:cs="Calibri"/>
          <w:b/>
          <w:bCs/>
          <w:color w:val="000000"/>
          <w:kern w:val="0"/>
          <w:sz w:val="22"/>
          <w:szCs w:val="22"/>
          <w14:ligatures w14:val="none"/>
        </w:rPr>
        <w:t>§ 1 </w:t>
      </w:r>
    </w:p>
    <w:p w:rsidRPr="00DE5703" w:rsidR="00DE5703" w:rsidP="00DE5703" w:rsidRDefault="00DE5703" w14:paraId="2F3FFBAA" w14:textId="77777777">
      <w:pPr>
        <w:spacing w:after="0" w:line="276" w:lineRule="auto"/>
        <w:contextualSpacing/>
        <w:jc w:val="center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44A6739C" w14:textId="77777777">
      <w:pPr>
        <w:spacing w:after="0" w:line="276" w:lineRule="auto"/>
        <w:contextualSpacing/>
        <w:jc w:val="both"/>
        <w:rPr>
          <w:rFonts w:ascii="Calibri" w:hAnsi="Calibri" w:eastAsia="Arial" w:cs="Times New Roman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Arial" w:cs="Times New Roman"/>
          <w:color w:val="000000"/>
          <w:kern w:val="0"/>
          <w:sz w:val="22"/>
          <w:szCs w:val="22"/>
          <w14:ligatures w14:val="none"/>
        </w:rPr>
        <w:t>W</w:t>
      </w:r>
      <w:r w:rsidRPr="00DE5703"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  <w:t>alne Zgromadzenie Członków Izby Gospodarki Elektronicznej z siedzibą w Warszawie zmienia art. 10 ust. 3 Statutu e-Izby i nadaje mu następujące brzmienie:</w:t>
      </w:r>
    </w:p>
    <w:p w:rsidRPr="00DE5703" w:rsidR="00DE5703" w:rsidP="00DE5703" w:rsidRDefault="00DE5703" w14:paraId="40AE131F" w14:textId="77777777">
      <w:pPr>
        <w:spacing w:after="0" w:line="276" w:lineRule="auto"/>
        <w:contextualSpacing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680EB485" w:rsidRDefault="4E8A39F9" w14:paraId="712051DE" w14:textId="42BAF21F">
      <w:pPr>
        <w:spacing w:after="0" w:line="276" w:lineRule="auto"/>
        <w:contextualSpacing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680EB485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 xml:space="preserve">„3. W przypadku, gdy Członek e-Izby zalega z zapłatą składki członkowskiej, Zarząd wzywa Członka e- Izby do dokonania zapłaty. W braku pełnej realizacji tego wezwania w terminie nie krótszym niż 7 dni, Zarząd dokonuje ponownego wezwania do zapłaty. Jeżeli po upływie 7 dni od otrzymania ponownego wezwania, Członek e-Izby nadal będzie zalegał z zapłatą choćby części składki członkowskiej, Zarząd podejmuje decyzję o zawieszeniu Członka e-Izby w jego pozostałych tj. innych niż wskazane w postanowieniu ustępu powyższego, prawach do czasu pełnego uregulowania zaległości, co nie wyłącza możliwości podjęcia przez Zarząd uchwały w przypadku wskazanym w ust. 1 pkt d ppkt iii niniejszego artykułu. Niezależnie od zastosowania wymienionych powyżej sankcji organizacyjnych, </w:t>
      </w:r>
      <w:r w:rsidRPr="680EB485" w:rsidR="02D2A035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e</w:t>
      </w:r>
      <w:r w:rsidRPr="680EB485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-Izba jest uprawniona do dochodzenia zapłaty zaległych składek członkowskich wraz z należnymi odsetkami na drodze sądowej."</w:t>
      </w:r>
    </w:p>
    <w:p w:rsidRPr="00DE5703" w:rsidR="00DE5703" w:rsidP="00DE5703" w:rsidRDefault="00DE5703" w14:paraId="7FF1A808" w14:textId="77777777">
      <w:pPr>
        <w:spacing w:after="0" w:line="276" w:lineRule="auto"/>
        <w:contextualSpacing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74C83ACE" w14:textId="77777777">
      <w:pPr>
        <w:spacing w:after="0" w:line="276" w:lineRule="auto"/>
        <w:contextualSpacing/>
        <w:jc w:val="center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b/>
          <w:bCs/>
          <w:color w:val="000000"/>
          <w:kern w:val="0"/>
          <w:sz w:val="22"/>
          <w:szCs w:val="22"/>
          <w14:ligatures w14:val="none"/>
        </w:rPr>
        <w:t>§ 2 </w:t>
      </w:r>
    </w:p>
    <w:p w:rsidRPr="00DE5703" w:rsidR="00DE5703" w:rsidP="00DE5703" w:rsidRDefault="00DE5703" w14:paraId="4084F370" w14:textId="77777777">
      <w:pPr>
        <w:spacing w:after="0" w:line="276" w:lineRule="auto"/>
        <w:contextualSpacing/>
        <w:jc w:val="center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477BDA3E" w14:textId="77777777">
      <w:pPr>
        <w:spacing w:after="0" w:line="276" w:lineRule="auto"/>
        <w:contextualSpacing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  <w:t>Walne Zgromadzenie Członków Izby Gospodarki Elektronicznej z siedzibą w Warszawie dodaje art. 11 ust. 13 Statutu e-Izby o następującym brzmieniu:</w:t>
      </w:r>
    </w:p>
    <w:p w:rsidRPr="00DE5703" w:rsidR="00DE5703" w:rsidP="00DE5703" w:rsidRDefault="00DE5703" w14:paraId="75704C18" w14:textId="77777777">
      <w:pPr>
        <w:spacing w:after="0" w:line="276" w:lineRule="auto"/>
        <w:contextualSpacing/>
        <w:jc w:val="center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4E8A39F9" w14:paraId="7024312C" w14:textId="40650784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680EB485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 xml:space="preserve">„13. Niezależnie od zastosowania sankcji organizacyjnych związanych z zaleganiem z zapłatą składek partnerskich, </w:t>
      </w:r>
      <w:r w:rsidRPr="680EB485" w:rsidR="616A4841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e</w:t>
      </w:r>
      <w:r w:rsidRPr="680EB485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-Izba jest uprawniona do dochodzenia zapłaty zaległych składek partnerskich wraz z należnymi odsetkami na drodze sądowej.”</w:t>
      </w:r>
    </w:p>
    <w:p w:rsidRPr="00DE5703" w:rsidR="00DE5703" w:rsidP="00DE5703" w:rsidRDefault="00DE5703" w14:paraId="377F59F3" w14:textId="77777777">
      <w:pPr>
        <w:widowControl w:val="0"/>
        <w:spacing w:after="0" w:line="240" w:lineRule="auto"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680EB485" w:rsidRDefault="4E8A39F9" w14:paraId="2BAA8796" w14:textId="77777777">
      <w:pPr>
        <w:spacing w:after="0" w:line="276" w:lineRule="auto"/>
        <w:contextualSpacing/>
        <w:jc w:val="center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b/>
          <w:bCs/>
          <w:color w:val="000000"/>
          <w:kern w:val="0"/>
          <w:sz w:val="22"/>
          <w:szCs w:val="22"/>
          <w14:ligatures w14:val="none"/>
        </w:rPr>
        <w:t>§ 3</w:t>
      </w:r>
    </w:p>
    <w:p w:rsidRPr="00DE5703" w:rsidR="00DE5703" w:rsidP="680EB485" w:rsidRDefault="4E8A39F9" w14:paraId="482043D5" w14:textId="77777777">
      <w:pPr>
        <w:spacing w:after="0" w:line="276" w:lineRule="auto"/>
        <w:contextualSpacing/>
        <w:jc w:val="center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b/>
          <w:bCs/>
          <w:color w:val="000000"/>
          <w:kern w:val="0"/>
          <w:sz w:val="22"/>
          <w:szCs w:val="22"/>
          <w14:ligatures w14:val="none"/>
        </w:rPr>
        <w:t> </w:t>
      </w:r>
    </w:p>
    <w:p w:rsidRPr="00DE5703" w:rsidR="00DE5703" w:rsidP="00DE5703" w:rsidRDefault="00DE5703" w14:paraId="54DAEEDC" w14:textId="77777777">
      <w:pPr>
        <w:spacing w:after="0" w:line="276" w:lineRule="auto"/>
        <w:contextualSpacing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  <w:t>Walne Zgromadzenie Członków Izby Gospodarki Elektronicznej z siedzibą w Warszawie postanawia dokonać sprostowania oczywistej omyłki redakcyjnej w treści art. 24 Statutu e</w:t>
      </w:r>
      <w:r w:rsidRPr="00DE5703">
        <w:rPr>
          <w:rFonts w:ascii="Cambria Math" w:hAnsi="Cambria Math" w:eastAsia="Cambria Math" w:cs="Cambria Math"/>
          <w:color w:val="000000"/>
          <w:kern w:val="0"/>
          <w:sz w:val="22"/>
          <w:szCs w:val="22"/>
          <w14:ligatures w14:val="none"/>
        </w:rPr>
        <w:t>‑</w:t>
      </w:r>
      <w:r w:rsidRPr="00DE5703"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  <w:t>Izby poprzez poprawienie błędnej numeracji jednostek redakcyjnych w ten sposób, że dotychczasową numerację:</w:t>
      </w:r>
    </w:p>
    <w:p w:rsidRPr="00DE5703" w:rsidR="00DE5703" w:rsidP="00DE5703" w:rsidRDefault="00DE5703" w14:paraId="6E0A53BF" w14:textId="77777777">
      <w:pPr>
        <w:spacing w:after="0" w:line="276" w:lineRule="auto"/>
        <w:contextualSpacing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1D3BC0D2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 xml:space="preserve">„3. Zakres kompetencji poszczególnych członków Zarządu e-Izby może określić Rada e-Izby w uchwale </w:t>
      </w:r>
    </w:p>
    <w:p w:rsidRPr="00DE5703" w:rsidR="00DE5703" w:rsidP="00DE5703" w:rsidRDefault="00DE5703" w14:paraId="18610AA3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o podziale kompetencji pomiędzy członkami Zarządu e-Izby</w:t>
      </w:r>
    </w:p>
    <w:p w:rsidRPr="00DE5703" w:rsidR="00DE5703" w:rsidP="00DE5703" w:rsidRDefault="00DE5703" w14:paraId="5DE1DA97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4. W przypadku gdy Zarząd jest wieloosobowy, oświadczenia woli w imieniu e-Izby składają dwaj</w:t>
      </w:r>
    </w:p>
    <w:p w:rsidRPr="00DE5703" w:rsidR="00DE5703" w:rsidP="00DE5703" w:rsidRDefault="00DE5703" w14:paraId="3C8BC8B8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członkowie Zarządu działający łącznie.</w:t>
      </w:r>
    </w:p>
    <w:p w:rsidRPr="00DE5703" w:rsidR="00DE5703" w:rsidP="00DE5703" w:rsidRDefault="00DE5703" w14:paraId="59A009F7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5. W umowach między e-Izbą a członkiem Zarządu oraz w sporze z nim e-Izbę reprezentuje</w:t>
      </w:r>
    </w:p>
    <w:p w:rsidRPr="00DE5703" w:rsidR="00DE5703" w:rsidP="00DE5703" w:rsidRDefault="00DE5703" w14:paraId="6BAB41BD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pełnomocnik powołany przez Radę e-Izby.”</w:t>
      </w:r>
    </w:p>
    <w:p w:rsidRPr="00DE5703" w:rsidR="00DE5703" w:rsidP="00DE5703" w:rsidRDefault="00DE5703" w14:paraId="2405D6EA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0F128E2D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  <w:t>zastępuje się następującą numeracją:</w:t>
      </w:r>
    </w:p>
    <w:p w:rsidRPr="00DE5703" w:rsidR="00DE5703" w:rsidP="00DE5703" w:rsidRDefault="00DE5703" w14:paraId="55E50C8B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4F1F132D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 xml:space="preserve">„4. Zakres kompetencji poszczególnych członków Zarządu e-Izby może określić Rada e-Izby w uchwale </w:t>
      </w:r>
    </w:p>
    <w:p w:rsidRPr="00DE5703" w:rsidR="00DE5703" w:rsidP="00DE5703" w:rsidRDefault="00DE5703" w14:paraId="762F87A7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o podziale kompetencji pomiędzy członkami Zarządu e-Izby</w:t>
      </w:r>
    </w:p>
    <w:p w:rsidRPr="00DE5703" w:rsidR="00DE5703" w:rsidP="00DE5703" w:rsidRDefault="00DE5703" w14:paraId="1873F780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5. W przypadku gdy Zarząd jest wieloosobowy, oświadczenia woli w imieniu e-Izby składają dwaj</w:t>
      </w:r>
    </w:p>
    <w:p w:rsidRPr="00DE5703" w:rsidR="00DE5703" w:rsidP="00DE5703" w:rsidRDefault="00DE5703" w14:paraId="33EA9748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członkowie Zarządu działający łącznie.</w:t>
      </w:r>
    </w:p>
    <w:p w:rsidRPr="00DE5703" w:rsidR="00DE5703" w:rsidP="00DE5703" w:rsidRDefault="00DE5703" w14:paraId="49BA7E52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6. W umowach między e-Izbą a członkiem Zarządu oraz w sporze z nim e-Izbę reprezentuje</w:t>
      </w:r>
    </w:p>
    <w:p w:rsidRPr="00DE5703" w:rsidR="00DE5703" w:rsidP="00DE5703" w:rsidRDefault="00DE5703" w14:paraId="128CEF7A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pełnomocnik powołany przez Radę e-Izby.”</w:t>
      </w:r>
    </w:p>
    <w:p w:rsidRPr="00DE5703" w:rsidR="00DE5703" w:rsidP="00DE5703" w:rsidRDefault="00DE5703" w14:paraId="43CBCD13" w14:textId="77777777">
      <w:pPr>
        <w:widowControl w:val="0"/>
        <w:spacing w:after="0" w:line="240" w:lineRule="auto"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680EB485" w:rsidRDefault="4E8A39F9" w14:paraId="7C871CC1" w14:textId="0E6D5917">
      <w:pPr>
        <w:spacing w:after="0" w:line="276" w:lineRule="auto"/>
        <w:contextualSpacing/>
        <w:jc w:val="center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b/>
          <w:bCs/>
          <w:color w:val="000000"/>
          <w:kern w:val="0"/>
          <w:sz w:val="22"/>
          <w:szCs w:val="22"/>
          <w14:ligatures w14:val="none"/>
        </w:rPr>
        <w:t xml:space="preserve">§ </w:t>
      </w:r>
      <w:r w:rsidRPr="00DE5703" w:rsidR="0CBE648A">
        <w:rPr>
          <w:rFonts w:ascii="Calibri" w:hAnsi="Calibri" w:eastAsia="Calibri" w:cs="Calibri"/>
          <w:b/>
          <w:bCs/>
          <w:color w:val="000000"/>
          <w:kern w:val="0"/>
          <w:sz w:val="22"/>
          <w:szCs w:val="22"/>
          <w14:ligatures w14:val="none"/>
        </w:rPr>
        <w:t>4</w:t>
      </w:r>
      <w:r w:rsidRPr="00DE5703">
        <w:rPr>
          <w:rFonts w:ascii="Calibri" w:hAnsi="Calibri" w:eastAsia="Calibri" w:cs="Calibri"/>
          <w:b/>
          <w:bCs/>
          <w:color w:val="000000"/>
          <w:kern w:val="0"/>
          <w:sz w:val="22"/>
          <w:szCs w:val="22"/>
          <w14:ligatures w14:val="none"/>
        </w:rPr>
        <w:t> </w:t>
      </w:r>
    </w:p>
    <w:p w:rsidRPr="00DE5703" w:rsidR="00DE5703" w:rsidP="00DE5703" w:rsidRDefault="00DE5703" w14:paraId="6667038F" w14:textId="77777777">
      <w:pPr>
        <w:spacing w:after="0" w:line="276" w:lineRule="auto"/>
        <w:contextualSpacing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  <w:t>Walne Zgromadzenie Członków Izby Gospodarki Elektronicznej z siedzibą w Warszawie zmienia art. 34 ust. 1 Statutu e-Izby i nadaje mu następujące brzmienie:</w:t>
      </w:r>
    </w:p>
    <w:p w:rsidRPr="00DE5703" w:rsidR="00DE5703" w:rsidP="00DE5703" w:rsidRDefault="00DE5703" w14:paraId="19007113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40FE9D80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„1. Z zastrzeżeniem postanowień ust. 2 niniejszego artykułu, przedmiotem działalności gospodarczej e-Izby może być:</w:t>
      </w:r>
    </w:p>
    <w:p w:rsidRPr="00DE5703" w:rsidR="00DE5703" w:rsidP="00DE5703" w:rsidRDefault="00DE5703" w14:paraId="02ED08CD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wydawanie czasopism i pozostałych periodyków (PKD 58.13.Z),</w:t>
      </w:r>
    </w:p>
    <w:p w:rsidRPr="00DE5703" w:rsidR="00DE5703" w:rsidP="00DE5703" w:rsidRDefault="00DE5703" w14:paraId="5A775705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pozostała działalność wydawnicza, z wyłączeniem w zakresie oprogramowania (PKD 58.19.Z),</w:t>
      </w:r>
    </w:p>
    <w:p w:rsidRPr="00DE5703" w:rsidR="00DE5703" w:rsidP="00DE5703" w:rsidRDefault="00DE5703" w14:paraId="2F523DA7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wydawnicza w zakresie pozostałego oprogramowania (PKD 58.29.Z),</w:t>
      </w:r>
    </w:p>
    <w:p w:rsidRPr="00DE5703" w:rsidR="00DE5703" w:rsidP="00DE5703" w:rsidRDefault="00DE5703" w14:paraId="0113EA31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w zakresie nagrań dźwiękowych i muzycznych (PKD 59.20.Z),</w:t>
      </w:r>
    </w:p>
    <w:p w:rsidRPr="00DE5703" w:rsidR="00DE5703" w:rsidP="00DE5703" w:rsidRDefault="00DE5703" w14:paraId="740C07F4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pozostała działalność związana z dystrybucją treści (PKD 60.39.Z),</w:t>
      </w:r>
    </w:p>
    <w:p w:rsidRPr="00DE5703" w:rsidR="00DE5703" w:rsidP="00DE5703" w:rsidRDefault="00DE5703" w14:paraId="0C9A17A7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pozostała działalność w zakresie programowania (PKD 62.10.B),</w:t>
      </w:r>
    </w:p>
    <w:p w:rsidRPr="00DE5703" w:rsidR="00DE5703" w:rsidP="00DE5703" w:rsidRDefault="00DE5703" w14:paraId="0E8A1200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pozostała działalność związana z doradztwem w zakresie informatyki oraz zarządzaniem urządzeniami informatycznymi (PKD 62.20.B),</w:t>
      </w:r>
    </w:p>
    <w:p w:rsidRPr="00DE5703" w:rsidR="00DE5703" w:rsidP="00DE5703" w:rsidRDefault="00DE5703" w14:paraId="61E1438B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pozostała działalność usługowa w zakresie technologii informatycznych i komputerowych (PKD 62.90.Z),</w:t>
      </w:r>
    </w:p>
    <w:p w:rsidRPr="00DE5703" w:rsidR="00DE5703" w:rsidP="00DE5703" w:rsidRDefault="00DE5703" w14:paraId="19E91885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pozostała działalność usługowa w zakresie infrastruktury obliczeniowej, przetwarzania danych, zarządzania stronami internetowymi (hosting) i działalności powiązane (PKD     63.10.D),</w:t>
      </w:r>
    </w:p>
    <w:p w:rsidRPr="00DE5703" w:rsidR="00DE5703" w:rsidP="00DE5703" w:rsidRDefault="00DE5703" w14:paraId="1E5E64CF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agencji informacyjnych (PKD 60.31.Z),</w:t>
      </w:r>
    </w:p>
    <w:p w:rsidRPr="00DE5703" w:rsidR="00DE5703" w:rsidP="00DE5703" w:rsidRDefault="00DE5703" w14:paraId="264E1F69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pozostała działalność usługowa w zakresie informacji (PKD 63.92.Z),</w:t>
      </w:r>
    </w:p>
    <w:p w:rsidRPr="00DE5703" w:rsidR="00DE5703" w:rsidP="00DE5703" w:rsidRDefault="00DE5703" w14:paraId="1E17BA31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lobbingowa (PKD 73.30.A),</w:t>
      </w:r>
    </w:p>
    <w:p w:rsidRPr="00DE5703" w:rsidR="00DE5703" w:rsidP="00DE5703" w:rsidRDefault="00DE5703" w14:paraId="0F4EA260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pozostała w zakresie public relations i komunikacji (PKD 73.30.B),</w:t>
      </w:r>
    </w:p>
    <w:p w:rsidRPr="00DE5703" w:rsidR="00DE5703" w:rsidP="00DE5703" w:rsidRDefault="00DE5703" w14:paraId="56B7F5AB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badania naukowe i prace rozwojowe w dziedzinie nauk przyrodniczych i technicznych (PKD 72.10.Z),</w:t>
      </w:r>
    </w:p>
    <w:p w:rsidRPr="00DE5703" w:rsidR="00DE5703" w:rsidP="00DE5703" w:rsidRDefault="00DE5703" w14:paraId="6A58952F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badania naukowe i prace rozwojowe w dziedzinie nauk społecznych i humanistycznych (PKD 72.20.Z),</w:t>
      </w:r>
    </w:p>
    <w:p w:rsidRPr="00DE5703" w:rsidR="00DE5703" w:rsidP="00DE5703" w:rsidRDefault="00DE5703" w14:paraId="636013C6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reklama poprzez środki masowego przekazu (PKD 73.12.Z),</w:t>
      </w:r>
    </w:p>
    <w:p w:rsidRPr="00DE5703" w:rsidR="00DE5703" w:rsidP="00DE5703" w:rsidRDefault="00DE5703" w14:paraId="77E37BC0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badanie rynku i opinii publicznej (PKD 73.20.Z),</w:t>
      </w:r>
    </w:p>
    <w:p w:rsidRPr="00DE5703" w:rsidR="00DE5703" w:rsidP="00DE5703" w:rsidRDefault="00DE5703" w14:paraId="6D0F795F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w zakresie projektowania graficznego i komunikacji wizualnej (PKD 74.12.Z),</w:t>
      </w:r>
    </w:p>
    <w:p w:rsidRPr="00DE5703" w:rsidR="00DE5703" w:rsidP="00DE5703" w:rsidRDefault="00DE5703" w14:paraId="05B01ED6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wszelka pozostała działalność profesjonalna, naukowa i techniczna, gdzie indziej niesklasyfikowana (PKD 74.99.Z),</w:t>
      </w:r>
    </w:p>
    <w:p w:rsidRPr="00DE5703" w:rsidR="00DE5703" w:rsidP="00DE5703" w:rsidRDefault="00DE5703" w14:paraId="509BABD1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wynajem i dzierżawa maszyn i urządzeń biurowych oraz komputerów (PKD 77.33.Z),</w:t>
      </w:r>
    </w:p>
    <w:p w:rsidRPr="00DE5703" w:rsidR="00DE5703" w:rsidP="00DE5703" w:rsidRDefault="00DE5703" w14:paraId="7F1B53FA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pozostała dzierżawa własności intelektualnej i podobnych produktów, z wyłączeniem prac chronionych prawem autorskim (PKD 77.40.B),</w:t>
      </w:r>
    </w:p>
    <w:p w:rsidRPr="00DE5703" w:rsidR="00DE5703" w:rsidP="00DE5703" w:rsidRDefault="00DE5703" w14:paraId="5671A2F8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związana z administracyjną obsługą biura, włączając działalność wspomagającą (PKD 82.10.Z),</w:t>
      </w:r>
    </w:p>
    <w:p w:rsidRPr="00DE5703" w:rsidR="00DE5703" w:rsidP="00DE5703" w:rsidRDefault="00DE5703" w14:paraId="6085D564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centrów telefonicznych (call center) (PKD 82.20.Z),</w:t>
      </w:r>
    </w:p>
    <w:p w:rsidRPr="00DE5703" w:rsidR="00DE5703" w:rsidP="00DE5703" w:rsidRDefault="00DE5703" w14:paraId="09583A3E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związana z organizacją targów, wystaw i kongresów (PKD 82.30.Z),</w:t>
      </w:r>
    </w:p>
    <w:p w:rsidRPr="00DE5703" w:rsidR="00DE5703" w:rsidP="00DE5703" w:rsidRDefault="00DE5703" w14:paraId="18BF18FE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wspomagająca prowadzenie działalności gospodarczej, gdzie indziej niesklasyfikowana (PKD 82.99.B),</w:t>
      </w:r>
    </w:p>
    <w:p w:rsidRPr="00DE5703" w:rsidR="00DE5703" w:rsidP="00DE5703" w:rsidRDefault="00DE5703" w14:paraId="762E9226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kierowanie w zakresie efektywności gospodarowania (PKD 84.13.Z),</w:t>
      </w:r>
    </w:p>
    <w:p w:rsidRPr="00DE5703" w:rsidR="00DE5703" w:rsidP="00DE5703" w:rsidRDefault="00DE5703" w14:paraId="73A9BFC0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pozostałe formy edukacji (PKD 85.5),</w:t>
      </w:r>
    </w:p>
    <w:p w:rsidRPr="00DE5703" w:rsidR="00DE5703" w:rsidP="00DE5703" w:rsidRDefault="00DE5703" w14:paraId="522E2402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wspomagająca edukację, gdzie indziej niesklasyfikowana (PKD 85.69.Z),</w:t>
      </w:r>
    </w:p>
    <w:p w:rsidRPr="00DE5703" w:rsidR="00DE5703" w:rsidP="00DE5703" w:rsidRDefault="00DE5703" w14:paraId="4F2832EC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naprawa i konserwacja komputerów i sprzętu (tele)komunikacyjnego (PKD 95.10.Z).”</w:t>
      </w:r>
    </w:p>
    <w:p w:rsidRPr="00DE5703" w:rsidR="00DE5703" w:rsidP="00DE5703" w:rsidRDefault="00DE5703" w14:paraId="54366B8A" w14:textId="77777777">
      <w:pPr>
        <w:widowControl w:val="0"/>
        <w:spacing w:after="0" w:line="240" w:lineRule="auto"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680EB485" w:rsidRDefault="4E8A39F9" w14:paraId="46C864E0" w14:textId="5847E0EB">
      <w:pPr>
        <w:spacing w:after="0" w:line="276" w:lineRule="auto"/>
        <w:contextualSpacing/>
        <w:jc w:val="center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b/>
          <w:bCs/>
          <w:color w:val="000000"/>
          <w:kern w:val="0"/>
          <w:sz w:val="22"/>
          <w:szCs w:val="22"/>
          <w14:ligatures w14:val="none"/>
        </w:rPr>
        <w:t xml:space="preserve">§ </w:t>
      </w:r>
      <w:r w:rsidRPr="00DE5703" w:rsidR="6725634A">
        <w:rPr>
          <w:rFonts w:ascii="Calibri" w:hAnsi="Calibri" w:eastAsia="Calibri" w:cs="Calibri"/>
          <w:b/>
          <w:bCs/>
          <w:color w:val="000000"/>
          <w:kern w:val="0"/>
          <w:sz w:val="22"/>
          <w:szCs w:val="22"/>
          <w14:ligatures w14:val="none"/>
        </w:rPr>
        <w:t>5</w:t>
      </w:r>
    </w:p>
    <w:p w:rsidRPr="00DE5703" w:rsidR="00DE5703" w:rsidP="00DE5703" w:rsidRDefault="4E8A39F9" w14:paraId="10D2B3C1" w14:textId="2502892D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  <w:t>Walne Zgromadzenie Członków Izby Gospodarki Elektronicznej z siedzibą w Warszawie postanawia uchwalić tekst jednolity Statutu e-Izby uwzględniający zmiany, o których mowa w §1-§</w:t>
      </w:r>
      <w:r w:rsidRPr="00DE5703" w:rsidR="75B29105"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  <w:t>4</w:t>
      </w:r>
      <w:r w:rsidRPr="00DE5703"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  <w:t xml:space="preserve"> powyżej. Tekst jednolity stanowi załącznik nr 1 do niniejszej uchwały.  </w:t>
      </w:r>
    </w:p>
    <w:p w:rsidRPr="00DE5703" w:rsidR="00DE5703" w:rsidP="00DE5703" w:rsidRDefault="00DE5703" w14:paraId="7E46A670" w14:textId="77777777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eastAsia="Calibri" w:cs="Times New Roman"/>
          <w:i/>
          <w:iCs/>
          <w:kern w:val="0"/>
          <w:sz w:val="22"/>
          <w:szCs w:val="22"/>
          <w14:ligatures w14:val="none"/>
        </w:rPr>
      </w:pPr>
    </w:p>
    <w:p w:rsidR="00DE5703" w:rsidP="00DE5703" w:rsidRDefault="00DE5703" w14:paraId="3BC44BFD" w14:textId="77777777"/>
    <w:sectPr w:rsidR="00DE5703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,Arial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5FB7DA"/>
    <w:multiLevelType w:val="hybridMultilevel"/>
    <w:tmpl w:val="989ADF5E"/>
    <w:lvl w:ilvl="0" w:tplc="AA28643E">
      <w:start w:val="1"/>
      <w:numFmt w:val="lowerLetter"/>
      <w:lvlText w:val="%1)"/>
      <w:lvlJc w:val="left"/>
      <w:pPr>
        <w:ind w:left="720" w:hanging="360"/>
      </w:pPr>
      <w:rPr>
        <w:rFonts w:hint="default" w:ascii="Calibri,Arial" w:hAnsi="Calibri,Arial"/>
      </w:rPr>
    </w:lvl>
    <w:lvl w:ilvl="1" w:tplc="F85C91DA">
      <w:start w:val="1"/>
      <w:numFmt w:val="lowerLetter"/>
      <w:lvlText w:val="%2."/>
      <w:lvlJc w:val="left"/>
      <w:pPr>
        <w:ind w:left="1440" w:hanging="360"/>
      </w:pPr>
    </w:lvl>
    <w:lvl w:ilvl="2" w:tplc="F0C0799E">
      <w:start w:val="1"/>
      <w:numFmt w:val="lowerRoman"/>
      <w:lvlText w:val="%3."/>
      <w:lvlJc w:val="right"/>
      <w:pPr>
        <w:ind w:left="2160" w:hanging="180"/>
      </w:pPr>
    </w:lvl>
    <w:lvl w:ilvl="3" w:tplc="081A1F22">
      <w:start w:val="1"/>
      <w:numFmt w:val="decimal"/>
      <w:lvlText w:val="%4."/>
      <w:lvlJc w:val="left"/>
      <w:pPr>
        <w:ind w:left="2880" w:hanging="360"/>
      </w:pPr>
    </w:lvl>
    <w:lvl w:ilvl="4" w:tplc="DE60B36C">
      <w:start w:val="1"/>
      <w:numFmt w:val="lowerLetter"/>
      <w:lvlText w:val="%5."/>
      <w:lvlJc w:val="left"/>
      <w:pPr>
        <w:ind w:left="3600" w:hanging="360"/>
      </w:pPr>
    </w:lvl>
    <w:lvl w:ilvl="5" w:tplc="C0368B96">
      <w:start w:val="1"/>
      <w:numFmt w:val="lowerRoman"/>
      <w:lvlText w:val="%6."/>
      <w:lvlJc w:val="right"/>
      <w:pPr>
        <w:ind w:left="4320" w:hanging="180"/>
      </w:pPr>
    </w:lvl>
    <w:lvl w:ilvl="6" w:tplc="A254FE8C">
      <w:start w:val="1"/>
      <w:numFmt w:val="decimal"/>
      <w:lvlText w:val="%7."/>
      <w:lvlJc w:val="left"/>
      <w:pPr>
        <w:ind w:left="5040" w:hanging="360"/>
      </w:pPr>
    </w:lvl>
    <w:lvl w:ilvl="7" w:tplc="E3B416D4">
      <w:start w:val="1"/>
      <w:numFmt w:val="lowerLetter"/>
      <w:lvlText w:val="%8."/>
      <w:lvlJc w:val="left"/>
      <w:pPr>
        <w:ind w:left="5760" w:hanging="360"/>
      </w:pPr>
    </w:lvl>
    <w:lvl w:ilvl="8" w:tplc="1C3218D6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137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0C0"/>
    <w:rsid w:val="000300C0"/>
    <w:rsid w:val="00145849"/>
    <w:rsid w:val="004E2AD3"/>
    <w:rsid w:val="007D3711"/>
    <w:rsid w:val="00AE1EE7"/>
    <w:rsid w:val="00BB03F8"/>
    <w:rsid w:val="00DE5703"/>
    <w:rsid w:val="02D2A035"/>
    <w:rsid w:val="0CBE648A"/>
    <w:rsid w:val="0E5F0C28"/>
    <w:rsid w:val="13B5F8AB"/>
    <w:rsid w:val="1E1E1BBA"/>
    <w:rsid w:val="20A7E586"/>
    <w:rsid w:val="2122645D"/>
    <w:rsid w:val="2733EF88"/>
    <w:rsid w:val="2F47CF08"/>
    <w:rsid w:val="3BE32709"/>
    <w:rsid w:val="3BF1B6D7"/>
    <w:rsid w:val="4E8A39F9"/>
    <w:rsid w:val="598C0366"/>
    <w:rsid w:val="5D198DE0"/>
    <w:rsid w:val="616A4841"/>
    <w:rsid w:val="6725634A"/>
    <w:rsid w:val="680EB485"/>
    <w:rsid w:val="75B29105"/>
    <w:rsid w:val="79D4F7EC"/>
    <w:rsid w:val="79DBDEC2"/>
    <w:rsid w:val="7A9A8C71"/>
    <w:rsid w:val="7D10EC23"/>
    <w:rsid w:val="7DF6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AF01DC"/>
  <w15:chartTrackingRefBased/>
  <w15:docId w15:val="{DE1111A0-FA4B-483F-B8FE-1AE4F94C8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00C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00C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00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00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00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00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00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00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00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300C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0300C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300C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300C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300C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300C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300C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300C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300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00C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300C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00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300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00C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300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00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00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00C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300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00C0"/>
    <w:rPr>
      <w:b/>
      <w:bCs/>
      <w:smallCaps/>
      <w:color w:val="0F4761" w:themeColor="accent1" w:themeShade="BF"/>
      <w:spacing w:val="5"/>
    </w:rPr>
  </w:style>
  <w:style w:type="paragraph" w:styleId="paragraph" w:customStyle="1">
    <w:name w:val="paragraph"/>
    <w:basedOn w:val="Normal"/>
    <w:rsid w:val="000300C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character" w:styleId="normaltextrun" w:customStyle="1">
    <w:name w:val="normaltextrun"/>
    <w:basedOn w:val="DefaultParagraphFont"/>
    <w:rsid w:val="000300C0"/>
  </w:style>
  <w:style w:type="character" w:styleId="eop" w:customStyle="1">
    <w:name w:val="eop"/>
    <w:basedOn w:val="DefaultParagraphFont"/>
    <w:rsid w:val="00030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00DB6BC0E0A145B64BFC1CC1D31AFF" ma:contentTypeVersion="17" ma:contentTypeDescription="Utwórz nowy dokument." ma:contentTypeScope="" ma:versionID="11ef47c7a50a99b4e541e8e849064871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078f65c846df3600b019374a3becb491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C3722F-0B2F-4A81-AFEC-854B594796AF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customXml/itemProps2.xml><?xml version="1.0" encoding="utf-8"?>
<ds:datastoreItem xmlns:ds="http://schemas.openxmlformats.org/officeDocument/2006/customXml" ds:itemID="{FC7A112A-215E-424F-A152-F589D7B7E37E}"/>
</file>

<file path=customXml/itemProps3.xml><?xml version="1.0" encoding="utf-8"?>
<ds:datastoreItem xmlns:ds="http://schemas.openxmlformats.org/officeDocument/2006/customXml" ds:itemID="{F1256482-20E8-4475-A52A-C29DAFFDB3A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Maciaszczyk</dc:creator>
  <cp:keywords/>
  <dc:description/>
  <cp:lastModifiedBy>Anna Maciaszczyk</cp:lastModifiedBy>
  <cp:revision>5</cp:revision>
  <dcterms:created xsi:type="dcterms:W3CDTF">2026-03-13T16:16:00Z</dcterms:created>
  <dcterms:modified xsi:type="dcterms:W3CDTF">2026-05-28T09:34:34Z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MediaServiceImageTags">
    <vt:lpwstr/>
  </property>
</Properties>
</file>